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C31CFF" w:rsidRDefault="00F92268" w:rsidP="00850792">
      <w:pPr>
        <w:pStyle w:val="BodyText"/>
        <w:rPr>
          <w:sz w:val="6"/>
          <w:szCs w:val="6"/>
        </w:rPr>
      </w:pPr>
      <w:r w:rsidRPr="00C31CFF">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C31CFF"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C31CFF" w:rsidRDefault="00F92268" w:rsidP="00F246C7">
            <w:pPr>
              <w:pStyle w:val="RefTableData"/>
            </w:pPr>
            <w:r w:rsidRPr="00C31CFF">
              <w:t>Reference number(s)</w:t>
            </w:r>
          </w:p>
        </w:tc>
      </w:tr>
      <w:tr w:rsidR="00F92268" w:rsidRPr="00C31CFF"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25FD16A" w:rsidR="00F92268" w:rsidRPr="00C31CFF" w:rsidRDefault="009C16C6" w:rsidP="00F246C7">
            <w:pPr>
              <w:pStyle w:val="RefTableHeader"/>
            </w:pPr>
            <w:r w:rsidRPr="00C31CFF">
              <w:t>280-A</w:t>
            </w:r>
          </w:p>
        </w:tc>
      </w:tr>
    </w:tbl>
    <w:p w14:paraId="74FBA5B4" w14:textId="77777777" w:rsidR="00051356" w:rsidRPr="00C31CFF" w:rsidRDefault="00051356" w:rsidP="00A672B3">
      <w:pPr>
        <w:pStyle w:val="BodyText"/>
        <w:rPr>
          <w:b/>
          <w:bCs/>
          <w:sz w:val="16"/>
          <w:szCs w:val="16"/>
        </w:rPr>
        <w:sectPr w:rsidR="00051356" w:rsidRPr="00C31CFF" w:rsidSect="003E1674">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5D7AD8BC" w:rsidR="004B15BB" w:rsidRPr="00C31CFF" w:rsidRDefault="0024630D" w:rsidP="007E5C16">
      <w:pPr>
        <w:pStyle w:val="Heading1"/>
      </w:pPr>
      <w:r>
        <w:t xml:space="preserve">Initial </w:t>
      </w:r>
      <w:r w:rsidR="00B30E14" w:rsidRPr="00C31CFF">
        <w:t>Prior Authorization</w:t>
      </w:r>
      <w:r w:rsidR="008C54D9" w:rsidRPr="00C31CFF">
        <w:br/>
      </w:r>
      <w:proofErr w:type="spellStart"/>
      <w:r w:rsidR="00B30E14" w:rsidRPr="00C31CFF">
        <w:t>Sporanox</w:t>
      </w:r>
      <w:proofErr w:type="spellEnd"/>
      <w:r w:rsidR="00B30E14" w:rsidRPr="00C31CFF">
        <w:t xml:space="preserve"> Oral Capsules</w:t>
      </w:r>
    </w:p>
    <w:p w14:paraId="78861C92" w14:textId="0F7C3C28" w:rsidR="00203468" w:rsidRPr="00C31CFF" w:rsidRDefault="00C64534" w:rsidP="00CB2B22">
      <w:pPr>
        <w:pStyle w:val="Heading2"/>
        <w:spacing w:before="360"/>
      </w:pPr>
      <w:r w:rsidRPr="00C31CFF">
        <w:t xml:space="preserve">Products Referenced by this </w:t>
      </w:r>
      <w:r w:rsidR="00501602" w:rsidRPr="00C31CFF">
        <w:t>Document</w:t>
      </w:r>
    </w:p>
    <w:p w14:paraId="5455152B" w14:textId="0A3D8918" w:rsidR="008E0F0D" w:rsidRPr="00C31CFF" w:rsidRDefault="00D82D85" w:rsidP="008B73E8">
      <w:pPr>
        <w:pStyle w:val="BodyText"/>
      </w:pPr>
      <w:r w:rsidRPr="00C31CFF">
        <w:t xml:space="preserve">Drugs that are listed in the </w:t>
      </w:r>
      <w:r w:rsidR="000315F1" w:rsidRPr="00C31CFF">
        <w:t>following table</w:t>
      </w:r>
      <w:r w:rsidRPr="00C31CFF">
        <w:t xml:space="preserve"> include both brand and generic and all dosage forms and strengths unless otherwise stated. </w:t>
      </w:r>
      <w:r w:rsidR="001E324D" w:rsidRPr="001E324D">
        <w:t xml:space="preserve">Over-the-counter (OTC) </w:t>
      </w:r>
      <w:r w:rsidRPr="00C31CFF">
        <w:t>products are not included unless otherwise stated.</w:t>
      </w:r>
    </w:p>
    <w:tbl>
      <w:tblPr>
        <w:tblStyle w:val="TableGrid"/>
        <w:tblW w:w="1104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802"/>
        <w:gridCol w:w="3802"/>
        <w:gridCol w:w="3436"/>
      </w:tblGrid>
      <w:tr w:rsidR="003D39B6" w:rsidRPr="00C31CFF" w14:paraId="158421F8" w14:textId="358B2475" w:rsidTr="00DC7B2A">
        <w:trPr>
          <w:cantSplit/>
          <w:trHeight w:val="288"/>
          <w:tblHeader/>
        </w:trPr>
        <w:tc>
          <w:tcPr>
            <w:tcW w:w="3802" w:type="dxa"/>
            <w:vAlign w:val="center"/>
          </w:tcPr>
          <w:p w14:paraId="2A27354A" w14:textId="1390179E" w:rsidR="003D39B6" w:rsidRPr="00C31CFF" w:rsidRDefault="003D39B6" w:rsidP="00DC12CF">
            <w:pPr>
              <w:pStyle w:val="TableHeader"/>
              <w:spacing w:after="0"/>
            </w:pPr>
            <w:bookmarkStart w:id="0" w:name="_Hlk159603270"/>
            <w:r w:rsidRPr="00C31CFF">
              <w:t>Brand Name</w:t>
            </w:r>
          </w:p>
        </w:tc>
        <w:tc>
          <w:tcPr>
            <w:tcW w:w="3802" w:type="dxa"/>
            <w:vAlign w:val="center"/>
          </w:tcPr>
          <w:p w14:paraId="3D342BE1" w14:textId="75F11EF1" w:rsidR="003D39B6" w:rsidRPr="00C31CFF" w:rsidRDefault="003D39B6" w:rsidP="00DC12CF">
            <w:pPr>
              <w:pStyle w:val="TableHeader"/>
              <w:spacing w:after="0"/>
            </w:pPr>
            <w:r w:rsidRPr="00C31CFF">
              <w:t>Generic Name</w:t>
            </w:r>
          </w:p>
        </w:tc>
        <w:tc>
          <w:tcPr>
            <w:tcW w:w="3436" w:type="dxa"/>
          </w:tcPr>
          <w:p w14:paraId="36027F43" w14:textId="0A88601F" w:rsidR="003D39B6" w:rsidRPr="00C31CFF" w:rsidRDefault="000128B0" w:rsidP="00DC12CF">
            <w:pPr>
              <w:pStyle w:val="TableHeader"/>
              <w:spacing w:after="0"/>
            </w:pPr>
            <w:r>
              <w:t>Dosage Form</w:t>
            </w:r>
          </w:p>
        </w:tc>
      </w:tr>
      <w:tr w:rsidR="003D39B6" w:rsidRPr="00C31CFF" w14:paraId="2AD5C02D" w14:textId="6BC4DCB8" w:rsidTr="00DC7B2A">
        <w:trPr>
          <w:cantSplit/>
          <w:trHeight w:val="403"/>
        </w:trPr>
        <w:tc>
          <w:tcPr>
            <w:tcW w:w="3802" w:type="dxa"/>
          </w:tcPr>
          <w:p w14:paraId="2D8FA8E3" w14:textId="04636CC8" w:rsidR="003D39B6" w:rsidRPr="00C31CFF" w:rsidRDefault="003D39B6" w:rsidP="00DC12CF">
            <w:pPr>
              <w:pStyle w:val="TableDataUnpadded"/>
            </w:pPr>
            <w:proofErr w:type="spellStart"/>
            <w:r w:rsidRPr="00C31CFF">
              <w:t>Sporanox</w:t>
            </w:r>
            <w:proofErr w:type="spellEnd"/>
          </w:p>
        </w:tc>
        <w:tc>
          <w:tcPr>
            <w:tcW w:w="3802" w:type="dxa"/>
          </w:tcPr>
          <w:p w14:paraId="7E26A004" w14:textId="2C406212" w:rsidR="003D39B6" w:rsidRPr="00C31CFF" w:rsidRDefault="003D39B6" w:rsidP="00DC12CF">
            <w:pPr>
              <w:pStyle w:val="TableDataUnpadded"/>
            </w:pPr>
            <w:r>
              <w:t>i</w:t>
            </w:r>
            <w:r w:rsidRPr="00C31CFF">
              <w:t>traconazole</w:t>
            </w:r>
          </w:p>
        </w:tc>
        <w:tc>
          <w:tcPr>
            <w:tcW w:w="3436" w:type="dxa"/>
          </w:tcPr>
          <w:p w14:paraId="7A546079" w14:textId="4FE3EAA3" w:rsidR="003D39B6" w:rsidRDefault="005234FE" w:rsidP="00DC12CF">
            <w:pPr>
              <w:pStyle w:val="TableDataUnpadded"/>
            </w:pPr>
            <w:r>
              <w:t>o</w:t>
            </w:r>
            <w:r w:rsidR="000128B0">
              <w:t>ral capsules</w:t>
            </w:r>
          </w:p>
        </w:tc>
      </w:tr>
    </w:tbl>
    <w:bookmarkEnd w:id="0"/>
    <w:p w14:paraId="20F9730E" w14:textId="77777777" w:rsidR="00636B62" w:rsidRPr="007842F7" w:rsidRDefault="00636B62" w:rsidP="001760BF">
      <w:pPr>
        <w:pStyle w:val="Heading2"/>
        <w:tabs>
          <w:tab w:val="left" w:pos="9540"/>
        </w:tabs>
        <w:spacing w:before="360"/>
      </w:pPr>
      <w:r w:rsidRPr="007842F7">
        <w:t>Indications</w:t>
      </w:r>
    </w:p>
    <w:p w14:paraId="134B5687" w14:textId="16A56D30" w:rsidR="00ED052F" w:rsidRPr="00C31CFF" w:rsidRDefault="00ED052F" w:rsidP="00ED052F">
      <w:pPr>
        <w:pStyle w:val="Heading3"/>
        <w:keepNext w:val="0"/>
      </w:pPr>
      <w:r w:rsidRPr="00C31CFF">
        <w:t>FDA-approved Indications</w:t>
      </w:r>
    </w:p>
    <w:p w14:paraId="6CA60336" w14:textId="77777777" w:rsidR="00B30E14" w:rsidRPr="00C31CFF" w:rsidRDefault="00B30E14" w:rsidP="00B30E14">
      <w:pPr>
        <w:pStyle w:val="BodyText"/>
      </w:pPr>
      <w:r w:rsidRPr="00C31CFF">
        <w:t>Sporanox (itraconazole) Capsules are indicated for the treatment of the following fungal infections in immunocompromised and non-immunocompromised patients:</w:t>
      </w:r>
    </w:p>
    <w:p w14:paraId="37D62D9F" w14:textId="4A66E62A" w:rsidR="00B30E14" w:rsidRPr="00C31CFF" w:rsidRDefault="00B30E14" w:rsidP="00B30E14">
      <w:pPr>
        <w:pStyle w:val="ListParagraph"/>
      </w:pPr>
      <w:r w:rsidRPr="00C31CFF">
        <w:t>Blastomycosis, pulmonary and extrapulmonary</w:t>
      </w:r>
    </w:p>
    <w:p w14:paraId="2EA1021B" w14:textId="3CA1D02E" w:rsidR="00B30E14" w:rsidRPr="00C31CFF" w:rsidRDefault="00B30E14" w:rsidP="00B30E14">
      <w:pPr>
        <w:pStyle w:val="ListParagraph"/>
      </w:pPr>
      <w:r w:rsidRPr="00C31CFF">
        <w:t>Histoplasmosis, including chronic cavitary pulmonary disease and disseminated, non-meningeal histoplasmosis, and</w:t>
      </w:r>
    </w:p>
    <w:p w14:paraId="71DA9B60" w14:textId="76925BE4" w:rsidR="00B30E14" w:rsidRPr="00C31CFF" w:rsidRDefault="00B30E14" w:rsidP="00B30E14">
      <w:pPr>
        <w:pStyle w:val="ListParagraph"/>
      </w:pPr>
      <w:r w:rsidRPr="00C31CFF">
        <w:t>Aspergillosis, pulmonary and extrapulmonary, in patients who are intolerant of or who are refractory to amphotericin B therapy.</w:t>
      </w:r>
    </w:p>
    <w:p w14:paraId="6F85E084" w14:textId="67DC29EB" w:rsidR="00B30E14" w:rsidRPr="00C31CFF" w:rsidRDefault="00B30E14" w:rsidP="00B30E14">
      <w:pPr>
        <w:pStyle w:val="BodyText"/>
      </w:pPr>
      <w:r w:rsidRPr="00C31CFF">
        <w:t>Specimens for fungal cultures and other relevant laboratory studies (wet mount, histopathology, serology) should be obtained before therapy to isolate and identify causative organisms. Therapy may be instituted before the results of the cultures and other laboratory studies are known; however, once these results become available, antiinfective therapy should be adjusted accordingly.</w:t>
      </w:r>
    </w:p>
    <w:p w14:paraId="7E030E27" w14:textId="77777777" w:rsidR="00B30E14" w:rsidRPr="00C31CFF" w:rsidRDefault="00B30E14" w:rsidP="00B30E14">
      <w:pPr>
        <w:pStyle w:val="BodyText"/>
      </w:pPr>
      <w:r w:rsidRPr="00C31CFF">
        <w:t>Sporanox Capsules are also indicated for the treatment of the following fungal infections in non-immunocompromised patients:</w:t>
      </w:r>
    </w:p>
    <w:p w14:paraId="5642E514" w14:textId="5A514229" w:rsidR="00B30E14" w:rsidRPr="00C31CFF" w:rsidRDefault="00B30E14" w:rsidP="00B30E14">
      <w:pPr>
        <w:pStyle w:val="ListParagraph"/>
      </w:pPr>
      <w:r w:rsidRPr="00C31CFF">
        <w:t>Onychomycosis of the toenail, with or without fingernail involvement, due to dermatophytes (tinea unguium), and</w:t>
      </w:r>
    </w:p>
    <w:p w14:paraId="5F5B144B" w14:textId="6735D1E4" w:rsidR="00B30E14" w:rsidRPr="00C31CFF" w:rsidRDefault="00B30E14" w:rsidP="00B30E14">
      <w:pPr>
        <w:pStyle w:val="ListParagraph"/>
      </w:pPr>
      <w:r w:rsidRPr="00C31CFF">
        <w:t xml:space="preserve">Onychomycosis of the fingernail due to dermatophytes (tinea </w:t>
      </w:r>
      <w:proofErr w:type="spellStart"/>
      <w:r w:rsidRPr="00C31CFF">
        <w:t>unguium</w:t>
      </w:r>
      <w:proofErr w:type="spellEnd"/>
      <w:r w:rsidRPr="00C31CFF">
        <w:t>).</w:t>
      </w:r>
    </w:p>
    <w:p w14:paraId="4C434745" w14:textId="44266DE4" w:rsidR="00ED052F" w:rsidRPr="00C31CFF" w:rsidRDefault="00B30E14" w:rsidP="00B30E14">
      <w:pPr>
        <w:pStyle w:val="BodyText"/>
      </w:pPr>
      <w:r w:rsidRPr="00C31CFF">
        <w:lastRenderedPageBreak/>
        <w:t>Prior to initiating treatment, appropriate nail specimens for laboratory testing (KOH preparation, fungal culture, or nail biopsy) should be obtained to confirm the diagnosis of onychomycosis.</w:t>
      </w:r>
    </w:p>
    <w:p w14:paraId="0B5EC236" w14:textId="491E3CE3" w:rsidR="0044763A" w:rsidRPr="00C31CFF" w:rsidRDefault="009F2EF1" w:rsidP="00926C31">
      <w:pPr>
        <w:pStyle w:val="Heading3"/>
      </w:pPr>
      <w:r w:rsidRPr="00C31CFF">
        <w:t>Compendial Uses</w:t>
      </w:r>
    </w:p>
    <w:p w14:paraId="363D2AE3" w14:textId="77777777" w:rsidR="00F54760" w:rsidRPr="00EA7BC0" w:rsidRDefault="00F54760" w:rsidP="00F54760">
      <w:pPr>
        <w:pStyle w:val="BodyText"/>
      </w:pPr>
      <w:r w:rsidRPr="00EA7BC0">
        <w:t>Coccidioidomycosis</w:t>
      </w:r>
      <w:r w:rsidRPr="00EA7BC0">
        <w:rPr>
          <w:vertAlign w:val="superscript"/>
        </w:rPr>
        <w:t>2,3</w:t>
      </w:r>
    </w:p>
    <w:p w14:paraId="63A30B2C" w14:textId="77777777" w:rsidR="00F54760" w:rsidRPr="00EA7BC0" w:rsidRDefault="00F54760" w:rsidP="00F54760">
      <w:pPr>
        <w:pStyle w:val="BodyText"/>
      </w:pPr>
      <w:r w:rsidRPr="00EA7BC0">
        <w:t>Coccidioidomycosis prophylaxis in HIV infection</w:t>
      </w:r>
      <w:r w:rsidRPr="00EA7BC0">
        <w:rPr>
          <w:vertAlign w:val="superscript"/>
        </w:rPr>
        <w:t>2,3</w:t>
      </w:r>
    </w:p>
    <w:p w14:paraId="00F0867B" w14:textId="77777777" w:rsidR="00F54760" w:rsidRPr="00EA7BC0" w:rsidRDefault="00F54760" w:rsidP="00F54760">
      <w:pPr>
        <w:pStyle w:val="BodyText"/>
      </w:pPr>
      <w:r w:rsidRPr="00EA7BC0">
        <w:t>Cryptococcosis</w:t>
      </w:r>
      <w:r w:rsidRPr="00EA7BC0">
        <w:rPr>
          <w:vertAlign w:val="superscript"/>
        </w:rPr>
        <w:t>2,3</w:t>
      </w:r>
    </w:p>
    <w:p w14:paraId="2663DAF3" w14:textId="77777777" w:rsidR="00F54760" w:rsidRPr="00EA7BC0" w:rsidRDefault="00F54760" w:rsidP="00F54760">
      <w:pPr>
        <w:pStyle w:val="BodyText"/>
      </w:pPr>
      <w:r w:rsidRPr="00EA7BC0">
        <w:t>Histoplasmosis prophylaxis in HIV infection</w:t>
      </w:r>
      <w:r w:rsidRPr="00EA7BC0">
        <w:rPr>
          <w:vertAlign w:val="superscript"/>
        </w:rPr>
        <w:t>2,3</w:t>
      </w:r>
    </w:p>
    <w:p w14:paraId="5FD373F1" w14:textId="77777777" w:rsidR="00F54760" w:rsidRPr="00EA7BC0" w:rsidRDefault="00F54760" w:rsidP="00F54760">
      <w:pPr>
        <w:pStyle w:val="BodyText"/>
      </w:pPr>
      <w:r w:rsidRPr="00EA7BC0">
        <w:t>Invasive fungal infection prophylaxis in liver transplant patients</w:t>
      </w:r>
      <w:r w:rsidRPr="00EA7BC0">
        <w:rPr>
          <w:vertAlign w:val="superscript"/>
        </w:rPr>
        <w:t>3</w:t>
      </w:r>
    </w:p>
    <w:p w14:paraId="4E13DDD2" w14:textId="77777777" w:rsidR="00F54760" w:rsidRPr="00EA7BC0" w:rsidRDefault="00F54760" w:rsidP="00F54760">
      <w:pPr>
        <w:pStyle w:val="BodyText"/>
      </w:pPr>
      <w:r w:rsidRPr="00EA7BC0">
        <w:t>Invasive fungal infection prophylaxis in patients with hematologic malignancies</w:t>
      </w:r>
      <w:r w:rsidRPr="00EA7BC0">
        <w:rPr>
          <w:vertAlign w:val="superscript"/>
        </w:rPr>
        <w:t>3</w:t>
      </w:r>
    </w:p>
    <w:p w14:paraId="6B31ADC8" w14:textId="77777777" w:rsidR="00F54760" w:rsidRPr="00EA7BC0" w:rsidRDefault="00F54760" w:rsidP="00F54760">
      <w:pPr>
        <w:pStyle w:val="BodyText"/>
      </w:pPr>
      <w:r w:rsidRPr="00EA7BC0">
        <w:t>Invasive fungal infection prophylaxis in patients with chronic granulomatous disease</w:t>
      </w:r>
      <w:r w:rsidRPr="00EA7BC0">
        <w:rPr>
          <w:vertAlign w:val="superscript"/>
        </w:rPr>
        <w:t>3</w:t>
      </w:r>
    </w:p>
    <w:p w14:paraId="6BE4D275" w14:textId="77777777" w:rsidR="00F54760" w:rsidRPr="00EA7BC0" w:rsidRDefault="00F54760" w:rsidP="00F54760">
      <w:pPr>
        <w:pStyle w:val="BodyText"/>
        <w:rPr>
          <w:lang w:val="pt-BR"/>
        </w:rPr>
      </w:pPr>
      <w:r w:rsidRPr="00EA7BC0">
        <w:rPr>
          <w:lang w:val="pt-BR"/>
        </w:rPr>
        <w:t>Microsporidiosis</w:t>
      </w:r>
      <w:r w:rsidRPr="00EA7BC0">
        <w:rPr>
          <w:vertAlign w:val="superscript"/>
          <w:lang w:val="pt-BR"/>
        </w:rPr>
        <w:t>2</w:t>
      </w:r>
    </w:p>
    <w:p w14:paraId="446AB5A2" w14:textId="77777777" w:rsidR="00F54760" w:rsidRPr="00EA7BC0" w:rsidRDefault="00F54760" w:rsidP="00F54760">
      <w:pPr>
        <w:pStyle w:val="BodyText"/>
        <w:rPr>
          <w:lang w:val="pt-BR"/>
        </w:rPr>
      </w:pPr>
      <w:r w:rsidRPr="00EA7BC0">
        <w:rPr>
          <w:lang w:val="pt-BR"/>
        </w:rPr>
        <w:t>Talaromycosis (formerly Penicilliosis)</w:t>
      </w:r>
      <w:r w:rsidRPr="00EA7BC0">
        <w:rPr>
          <w:vertAlign w:val="superscript"/>
          <w:lang w:val="pt-BR"/>
        </w:rPr>
        <w:t>2</w:t>
      </w:r>
    </w:p>
    <w:p w14:paraId="4CC6EDAE" w14:textId="77777777" w:rsidR="00F54760" w:rsidRPr="00EA7BC0" w:rsidRDefault="00F54760" w:rsidP="00F54760">
      <w:pPr>
        <w:pStyle w:val="BodyText"/>
        <w:rPr>
          <w:lang w:val="pt-BR"/>
        </w:rPr>
      </w:pPr>
      <w:r w:rsidRPr="00EA7BC0">
        <w:rPr>
          <w:lang w:val="pt-BR"/>
        </w:rPr>
        <w:t>Pityriasis versicolor/Tinea versicolor</w:t>
      </w:r>
      <w:r w:rsidRPr="00EA7BC0">
        <w:rPr>
          <w:vertAlign w:val="superscript"/>
          <w:lang w:val="pt-BR"/>
        </w:rPr>
        <w:t>3</w:t>
      </w:r>
    </w:p>
    <w:p w14:paraId="06990049" w14:textId="77777777" w:rsidR="00F54760" w:rsidRPr="00EA7BC0" w:rsidRDefault="00F54760" w:rsidP="00F54760">
      <w:pPr>
        <w:pStyle w:val="BodyText"/>
        <w:rPr>
          <w:lang w:val="it-IT"/>
        </w:rPr>
      </w:pPr>
      <w:r w:rsidRPr="00EA7BC0">
        <w:rPr>
          <w:lang w:val="it-IT"/>
        </w:rPr>
        <w:t>Sporotrichosis</w:t>
      </w:r>
      <w:r w:rsidRPr="00EA7BC0">
        <w:rPr>
          <w:vertAlign w:val="superscript"/>
          <w:lang w:val="it-IT"/>
        </w:rPr>
        <w:t>2,3</w:t>
      </w:r>
    </w:p>
    <w:p w14:paraId="36AC9C5A" w14:textId="77777777" w:rsidR="00F54760" w:rsidRPr="00EA7BC0" w:rsidRDefault="00F54760" w:rsidP="00F54760">
      <w:pPr>
        <w:pStyle w:val="BodyText"/>
        <w:rPr>
          <w:lang w:val="it-IT"/>
        </w:rPr>
      </w:pPr>
      <w:r w:rsidRPr="00EA7BC0">
        <w:rPr>
          <w:lang w:val="it-IT"/>
        </w:rPr>
        <w:t>Tinea corporis, Tinea cruris, Tinea capitis, Tinea manuum, Tinea pedis</w:t>
      </w:r>
      <w:r w:rsidRPr="00EA7BC0">
        <w:rPr>
          <w:vertAlign w:val="superscript"/>
          <w:lang w:val="it-IT"/>
        </w:rPr>
        <w:t>3</w:t>
      </w:r>
    </w:p>
    <w:p w14:paraId="16F70C81" w14:textId="77777777" w:rsidR="00F54760" w:rsidRPr="00EA7BC0" w:rsidRDefault="00F54760" w:rsidP="00F54760">
      <w:pPr>
        <w:pStyle w:val="BodyText"/>
      </w:pPr>
      <w:r w:rsidRPr="00EA7BC0">
        <w:t>Primary Therapy for Allergic Bronchopulmonary Aspergillosis, in combination with systemic corticosteroids</w:t>
      </w:r>
      <w:r w:rsidRPr="00EA7BC0">
        <w:rPr>
          <w:vertAlign w:val="superscript"/>
        </w:rPr>
        <w:t>2,3,4</w:t>
      </w:r>
    </w:p>
    <w:p w14:paraId="0D5A9DD5" w14:textId="1EA7623E" w:rsidR="009A5649" w:rsidRPr="00C31CFF" w:rsidRDefault="00F54760" w:rsidP="001760BF">
      <w:pPr>
        <w:pStyle w:val="BodyText"/>
        <w:spacing w:after="0"/>
        <w:rPr>
          <w:rFonts w:eastAsia="Arial"/>
        </w:rPr>
      </w:pPr>
      <w:r w:rsidRPr="00EA7BC0">
        <w:t>Primary Therapy for Chronic Cavitary Pulmonary Aspergillosis</w:t>
      </w:r>
      <w:r w:rsidRPr="00EA7BC0">
        <w:rPr>
          <w:vertAlign w:val="superscript"/>
        </w:rPr>
        <w:t>2,3,4</w:t>
      </w:r>
    </w:p>
    <w:p w14:paraId="50A38FBA" w14:textId="2E91803A" w:rsidR="00FE0C63" w:rsidRPr="00C31CFF" w:rsidRDefault="00685107" w:rsidP="00636B62">
      <w:pPr>
        <w:pStyle w:val="Heading2"/>
        <w:spacing w:before="360"/>
      </w:pPr>
      <w:r w:rsidRPr="00C31CFF">
        <w:t>Coverage Criteria</w:t>
      </w:r>
    </w:p>
    <w:p w14:paraId="34822B27" w14:textId="77777777" w:rsidR="00F54760" w:rsidRPr="00C31CFF" w:rsidRDefault="00F54760" w:rsidP="00F54760">
      <w:pPr>
        <w:pStyle w:val="BodyText"/>
      </w:pPr>
      <w:r w:rsidRPr="00C31CFF">
        <w:t>Authorization may be granted for the requested drug when ALL of the following criteria are met:</w:t>
      </w:r>
    </w:p>
    <w:p w14:paraId="00BE586E" w14:textId="77777777" w:rsidR="00F54760" w:rsidRPr="00C31CFF" w:rsidRDefault="00F54760" w:rsidP="009C16C6">
      <w:pPr>
        <w:pStyle w:val="ListParagraph"/>
      </w:pPr>
      <w:r w:rsidRPr="00C31CFF">
        <w:t>The requested drug is NOT being used in a footbath</w:t>
      </w:r>
    </w:p>
    <w:p w14:paraId="21531E99" w14:textId="77777777" w:rsidR="00F54760" w:rsidRPr="00C31CFF" w:rsidRDefault="00F54760" w:rsidP="009C16C6">
      <w:pPr>
        <w:pStyle w:val="ListParagraph"/>
      </w:pPr>
      <w:r w:rsidRPr="00C31CFF">
        <w:t>The patient meets ONE of the following:</w:t>
      </w:r>
    </w:p>
    <w:p w14:paraId="0CC994A0" w14:textId="77777777" w:rsidR="00F54760" w:rsidRPr="00C31CFF" w:rsidRDefault="00F54760" w:rsidP="009C16C6">
      <w:pPr>
        <w:pStyle w:val="ListParagraph"/>
        <w:numPr>
          <w:ilvl w:val="1"/>
          <w:numId w:val="21"/>
        </w:numPr>
      </w:pPr>
      <w:r w:rsidRPr="00C31CFF">
        <w:t>The requested drug is being prescribed for ANY of the following:</w:t>
      </w:r>
    </w:p>
    <w:p w14:paraId="2C577037" w14:textId="77777777" w:rsidR="00F54760" w:rsidRPr="00C31CFF" w:rsidRDefault="00F54760" w:rsidP="009C16C6">
      <w:pPr>
        <w:pStyle w:val="ListParagraph"/>
        <w:numPr>
          <w:ilvl w:val="2"/>
          <w:numId w:val="21"/>
        </w:numPr>
      </w:pPr>
      <w:r w:rsidRPr="00C31CFF">
        <w:t>Pityriasis versicolor</w:t>
      </w:r>
    </w:p>
    <w:p w14:paraId="3178C503" w14:textId="77777777" w:rsidR="00F54760" w:rsidRPr="00C31CFF" w:rsidRDefault="00F54760" w:rsidP="009C16C6">
      <w:pPr>
        <w:pStyle w:val="ListParagraph"/>
        <w:numPr>
          <w:ilvl w:val="2"/>
          <w:numId w:val="21"/>
        </w:numPr>
      </w:pPr>
      <w:r w:rsidRPr="00C31CFF">
        <w:t>Tinea versicolor</w:t>
      </w:r>
    </w:p>
    <w:p w14:paraId="012AC9D1" w14:textId="77777777" w:rsidR="00F54760" w:rsidRPr="00C31CFF" w:rsidRDefault="00F54760" w:rsidP="009C16C6">
      <w:pPr>
        <w:pStyle w:val="ListParagraph"/>
        <w:numPr>
          <w:ilvl w:val="2"/>
          <w:numId w:val="21"/>
        </w:numPr>
      </w:pPr>
      <w:r w:rsidRPr="00C31CFF">
        <w:t>Onychomycosis due to dermatophytes (Tinea unguium) confirmed by a fungal diagnostic test (e.g., potassium hydroxide [KOH] preparation, fungal culture, or nail biopsy)</w:t>
      </w:r>
    </w:p>
    <w:p w14:paraId="37056E4F" w14:textId="77777777" w:rsidR="00F54760" w:rsidRPr="00C31CFF" w:rsidRDefault="00F54760" w:rsidP="009C16C6">
      <w:pPr>
        <w:pStyle w:val="ListParagraph"/>
        <w:numPr>
          <w:ilvl w:val="2"/>
          <w:numId w:val="21"/>
        </w:numPr>
      </w:pPr>
      <w:r w:rsidRPr="00C31CFF">
        <w:t>Histoplasmosis prophylaxis in HIV infection</w:t>
      </w:r>
    </w:p>
    <w:p w14:paraId="666599A6" w14:textId="77777777" w:rsidR="00F54760" w:rsidRPr="00C31CFF" w:rsidRDefault="00F54760" w:rsidP="009C16C6">
      <w:pPr>
        <w:pStyle w:val="ListParagraph"/>
        <w:numPr>
          <w:ilvl w:val="2"/>
          <w:numId w:val="21"/>
        </w:numPr>
      </w:pPr>
      <w:r w:rsidRPr="00C31CFF">
        <w:t>Coccidioidomycosis prophylaxis in HIV infection</w:t>
      </w:r>
    </w:p>
    <w:p w14:paraId="62C4640C" w14:textId="77777777" w:rsidR="00F54760" w:rsidRPr="00C31CFF" w:rsidRDefault="00F54760" w:rsidP="00CB2B22">
      <w:pPr>
        <w:pStyle w:val="ListParagraph"/>
        <w:numPr>
          <w:ilvl w:val="2"/>
          <w:numId w:val="21"/>
        </w:numPr>
        <w:ind w:right="0"/>
      </w:pPr>
      <w:r w:rsidRPr="00C31CFF">
        <w:t>Invasive fungal infection prophylaxis in a patient with chronic granulomatous disease</w:t>
      </w:r>
    </w:p>
    <w:p w14:paraId="233F0C09" w14:textId="77777777" w:rsidR="00F54760" w:rsidRPr="00C31CFF" w:rsidRDefault="00F54760" w:rsidP="009C16C6">
      <w:pPr>
        <w:pStyle w:val="ListParagraph"/>
        <w:numPr>
          <w:ilvl w:val="2"/>
          <w:numId w:val="21"/>
        </w:numPr>
      </w:pPr>
      <w:r w:rsidRPr="00C31CFF">
        <w:t>Primary therapy for chronic cavitary pulmonary aspergillosis</w:t>
      </w:r>
    </w:p>
    <w:p w14:paraId="44BD696B" w14:textId="77777777" w:rsidR="00F54760" w:rsidRPr="00C31CFF" w:rsidRDefault="00F54760" w:rsidP="009C16C6">
      <w:pPr>
        <w:pStyle w:val="ListParagraph"/>
        <w:numPr>
          <w:ilvl w:val="2"/>
          <w:numId w:val="21"/>
        </w:numPr>
      </w:pPr>
      <w:r w:rsidRPr="00C31CFF">
        <w:t>Blastomycosis</w:t>
      </w:r>
    </w:p>
    <w:p w14:paraId="318217E5" w14:textId="77777777" w:rsidR="00F54760" w:rsidRPr="00C31CFF" w:rsidRDefault="00F54760" w:rsidP="009C16C6">
      <w:pPr>
        <w:pStyle w:val="ListParagraph"/>
        <w:numPr>
          <w:ilvl w:val="2"/>
          <w:numId w:val="21"/>
        </w:numPr>
      </w:pPr>
      <w:r w:rsidRPr="00C31CFF">
        <w:t>Histoplasmosis</w:t>
      </w:r>
    </w:p>
    <w:p w14:paraId="66DB86DA" w14:textId="77777777" w:rsidR="00F54760" w:rsidRPr="00606506" w:rsidRDefault="00F54760" w:rsidP="009C16C6">
      <w:pPr>
        <w:pStyle w:val="ListParagraph"/>
        <w:numPr>
          <w:ilvl w:val="2"/>
          <w:numId w:val="21"/>
        </w:numPr>
      </w:pPr>
      <w:r w:rsidRPr="00606506">
        <w:t>Primary therapy for allergic bronchopulmonary aspergillosis, in combination with systemic corticosteroids</w:t>
      </w:r>
    </w:p>
    <w:p w14:paraId="0ED15129" w14:textId="77777777" w:rsidR="00F54760" w:rsidRPr="00606506" w:rsidRDefault="00F54760" w:rsidP="009C16C6">
      <w:pPr>
        <w:pStyle w:val="ListParagraph"/>
        <w:numPr>
          <w:ilvl w:val="2"/>
          <w:numId w:val="21"/>
        </w:numPr>
      </w:pPr>
      <w:r w:rsidRPr="00606506">
        <w:t>Aspergillosis in a patient intolerant of or refractory to amphotericin B therapy</w:t>
      </w:r>
    </w:p>
    <w:p w14:paraId="0F233DF5" w14:textId="77777777" w:rsidR="00F54760" w:rsidRPr="00606506" w:rsidRDefault="00F54760" w:rsidP="009C16C6">
      <w:pPr>
        <w:pStyle w:val="ListParagraph"/>
        <w:numPr>
          <w:ilvl w:val="2"/>
          <w:numId w:val="21"/>
        </w:numPr>
      </w:pPr>
      <w:r w:rsidRPr="00606506">
        <w:t>Coccidioidomycosis</w:t>
      </w:r>
    </w:p>
    <w:p w14:paraId="560C8BFC" w14:textId="77777777" w:rsidR="00F54760" w:rsidRPr="00606506" w:rsidRDefault="00F54760" w:rsidP="009C16C6">
      <w:pPr>
        <w:pStyle w:val="ListParagraph"/>
        <w:numPr>
          <w:ilvl w:val="2"/>
          <w:numId w:val="21"/>
        </w:numPr>
      </w:pPr>
      <w:r w:rsidRPr="00606506">
        <w:t>Cryptococcosis</w:t>
      </w:r>
    </w:p>
    <w:p w14:paraId="3A63344A" w14:textId="77777777" w:rsidR="00F54760" w:rsidRPr="00606506" w:rsidRDefault="00F54760" w:rsidP="009C16C6">
      <w:pPr>
        <w:pStyle w:val="ListParagraph"/>
        <w:numPr>
          <w:ilvl w:val="2"/>
          <w:numId w:val="21"/>
        </w:numPr>
      </w:pPr>
      <w:r w:rsidRPr="00606506">
        <w:t>Sporotrichosis</w:t>
      </w:r>
    </w:p>
    <w:p w14:paraId="0AD9CA63" w14:textId="77777777" w:rsidR="00F54760" w:rsidRPr="00606506" w:rsidRDefault="00F54760" w:rsidP="009C16C6">
      <w:pPr>
        <w:pStyle w:val="ListParagraph"/>
        <w:numPr>
          <w:ilvl w:val="2"/>
          <w:numId w:val="21"/>
        </w:numPr>
      </w:pPr>
      <w:r w:rsidRPr="00606506">
        <w:t>Talaromycosis (formerly Penicilliosis)</w:t>
      </w:r>
    </w:p>
    <w:p w14:paraId="6035E0B9" w14:textId="77777777" w:rsidR="00F54760" w:rsidRPr="00606506" w:rsidRDefault="00F54760" w:rsidP="009C16C6">
      <w:pPr>
        <w:pStyle w:val="ListParagraph"/>
        <w:numPr>
          <w:ilvl w:val="2"/>
          <w:numId w:val="21"/>
        </w:numPr>
      </w:pPr>
      <w:r w:rsidRPr="00606506">
        <w:t>Microsporidiosis</w:t>
      </w:r>
    </w:p>
    <w:p w14:paraId="0DFB1238" w14:textId="77777777" w:rsidR="00F54760" w:rsidRPr="00606506" w:rsidRDefault="00F54760" w:rsidP="009C16C6">
      <w:pPr>
        <w:pStyle w:val="ListParagraph"/>
        <w:numPr>
          <w:ilvl w:val="2"/>
          <w:numId w:val="21"/>
        </w:numPr>
      </w:pPr>
      <w:r w:rsidRPr="00606506">
        <w:t>Invasive fungal infection prophylaxis in a liver transplant patient</w:t>
      </w:r>
    </w:p>
    <w:p w14:paraId="73F6AF3B" w14:textId="77777777" w:rsidR="00F54760" w:rsidRPr="00606506" w:rsidRDefault="00F54760" w:rsidP="009C16C6">
      <w:pPr>
        <w:pStyle w:val="ListParagraph"/>
        <w:numPr>
          <w:ilvl w:val="2"/>
          <w:numId w:val="21"/>
        </w:numPr>
      </w:pPr>
      <w:r w:rsidRPr="00606506">
        <w:t xml:space="preserve">Invasive fungal infection prophylaxis in a patient with a hematologic malignancy </w:t>
      </w:r>
    </w:p>
    <w:p w14:paraId="59AD4FCF" w14:textId="77777777" w:rsidR="00F54760" w:rsidRPr="00C31CFF" w:rsidRDefault="00F54760" w:rsidP="009C16C6">
      <w:pPr>
        <w:pStyle w:val="ListParagraph"/>
        <w:numPr>
          <w:ilvl w:val="1"/>
          <w:numId w:val="21"/>
        </w:numPr>
      </w:pPr>
      <w:r w:rsidRPr="00C31CFF">
        <w:t>The requested drug is being prescribed for ANY of the following: Tinea corporis, Tinea cruris, Tinea capitis, Tinea manuum, Tinea pedis and the following criteria is met:</w:t>
      </w:r>
    </w:p>
    <w:p w14:paraId="554B6E8F" w14:textId="68DBAF42" w:rsidR="00B836B0" w:rsidRPr="00C31CFF" w:rsidRDefault="00F54760" w:rsidP="00636B62">
      <w:pPr>
        <w:pStyle w:val="ListParagraph"/>
        <w:numPr>
          <w:ilvl w:val="2"/>
          <w:numId w:val="21"/>
        </w:numPr>
        <w:spacing w:after="0"/>
      </w:pPr>
      <w:r w:rsidRPr="00C31CFF">
        <w:t>The patient experienced an inadequate treatment response, intolerance, or has a contraindication to ANY of the following: fluconazole, griseofulvin, terbinafine</w:t>
      </w:r>
    </w:p>
    <w:p w14:paraId="1F387316" w14:textId="04344665" w:rsidR="00183B46" w:rsidRPr="00C31CFF" w:rsidRDefault="00183B46" w:rsidP="00636B62">
      <w:pPr>
        <w:pStyle w:val="Heading2"/>
        <w:spacing w:before="360"/>
      </w:pPr>
      <w:r w:rsidRPr="00C31CFF">
        <w:t>Duration of Approval (DOA)</w:t>
      </w:r>
    </w:p>
    <w:p w14:paraId="080FEB7B" w14:textId="77777777" w:rsidR="009C16C6" w:rsidRPr="00C31CFF" w:rsidRDefault="009C16C6" w:rsidP="009C16C6">
      <w:pPr>
        <w:pStyle w:val="ListParagraph"/>
      </w:pPr>
      <w:r w:rsidRPr="00C31CFF">
        <w:t>280-A:</w:t>
      </w:r>
    </w:p>
    <w:p w14:paraId="65C98AAC" w14:textId="77777777" w:rsidR="009C16C6" w:rsidRPr="00BF0110" w:rsidRDefault="009C16C6" w:rsidP="00CB2B22">
      <w:pPr>
        <w:pStyle w:val="ListParagraph"/>
        <w:numPr>
          <w:ilvl w:val="1"/>
          <w:numId w:val="28"/>
        </w:numPr>
        <w:ind w:right="-288"/>
        <w:rPr>
          <w:lang w:val="pt-BR"/>
        </w:rPr>
      </w:pPr>
      <w:r w:rsidRPr="00BF0110">
        <w:rPr>
          <w:lang w:val="pt-BR"/>
        </w:rPr>
        <w:t>Pityriasis versicolor, Tinea versicolor, Onychomycosis due to dermatophytes (Tinea unguium), Tinea corporis, Tinea cruris, Tinea capitis, Tinea manuum, Tinea pedis: DOA: 3 months</w:t>
      </w:r>
    </w:p>
    <w:p w14:paraId="7FD9E323" w14:textId="6127EBEC" w:rsidR="009C16C6" w:rsidRPr="00C31CFF" w:rsidRDefault="009C16C6" w:rsidP="009C16C6">
      <w:pPr>
        <w:pStyle w:val="ListParagraph"/>
        <w:numPr>
          <w:ilvl w:val="1"/>
          <w:numId w:val="28"/>
        </w:numPr>
      </w:pPr>
      <w:r w:rsidRPr="00C31CFF">
        <w:t>Blastomycosis, Primary therapy for allergic bronchopulmonary aspergillosis, Aspergillosis, Coccidioidomycosis, Cryptococcosis, Sporotrichosis, Talaromycosis (formerly Penicilliosis),  Microsporidiosis, Invasive fungal infection prophylaxis in a liver transplant patient, Invasive fungal infection prophylaxis in a patient with a hematologic malignancy: DOA: 6 months</w:t>
      </w:r>
    </w:p>
    <w:p w14:paraId="6C19589D" w14:textId="1933C3AC" w:rsidR="00757463" w:rsidRDefault="00A255C0" w:rsidP="00636B62">
      <w:pPr>
        <w:pStyle w:val="ListParagraph"/>
        <w:numPr>
          <w:ilvl w:val="1"/>
          <w:numId w:val="28"/>
        </w:numPr>
        <w:spacing w:after="0"/>
      </w:pPr>
      <w:r w:rsidRPr="00FF2CEE">
        <w:t>H</w:t>
      </w:r>
      <w:r w:rsidR="009C16C6" w:rsidRPr="00FF2CEE">
        <w:t>istoplasmosis</w:t>
      </w:r>
      <w:r w:rsidR="009C16C6" w:rsidRPr="00C31CFF">
        <w:t>, Histoplasmosis prophylaxis in HIV infection, Coccidioidomycosis prophylaxis in HIV infection, Invasive fungal infection prophylaxis in a patient with chronic granulomatous disease, Primary therapy for chronic cavitary pulmonary aspergillosis: DOA: 12 months</w:t>
      </w:r>
    </w:p>
    <w:p w14:paraId="10DA4309" w14:textId="4BC1303D" w:rsidR="00FF66BF" w:rsidRPr="00C31CFF" w:rsidRDefault="00FF66BF" w:rsidP="00636B62">
      <w:pPr>
        <w:pStyle w:val="Heading2"/>
        <w:spacing w:before="360"/>
      </w:pPr>
      <w:r w:rsidRPr="00C31CFF">
        <w:t>References</w:t>
      </w:r>
    </w:p>
    <w:p w14:paraId="0D0843D1" w14:textId="4A82B424" w:rsidR="009C16C6" w:rsidRPr="00C31CFF" w:rsidRDefault="009C16C6" w:rsidP="009C16C6">
      <w:pPr>
        <w:pStyle w:val="ReferenceOrdered"/>
      </w:pPr>
      <w:r w:rsidRPr="00C31CFF">
        <w:t xml:space="preserve">Sporanox capsule [package insert]. Titusville, NJ: Janssen Pharmaceuticals, Inc.; </w:t>
      </w:r>
      <w:r w:rsidR="008D13AB">
        <w:t>December</w:t>
      </w:r>
      <w:r w:rsidR="00C27233" w:rsidRPr="00C31CFF">
        <w:t xml:space="preserve"> </w:t>
      </w:r>
      <w:r w:rsidRPr="00C31CFF">
        <w:t>202</w:t>
      </w:r>
      <w:r w:rsidR="00C27233">
        <w:t>4</w:t>
      </w:r>
      <w:r w:rsidRPr="00C31CFF">
        <w:t>.</w:t>
      </w:r>
    </w:p>
    <w:p w14:paraId="6A00E13C" w14:textId="7448235B" w:rsidR="009C16C6" w:rsidRPr="00C31CFF" w:rsidRDefault="009C16C6" w:rsidP="009C16C6">
      <w:pPr>
        <w:pStyle w:val="ReferenceOrdered"/>
      </w:pPr>
      <w:r w:rsidRPr="00C31CFF">
        <w:t>Lexicomp Online, AHFS DI (Adult and Pediatric) Online. Waltham, MA: UpToDate, Inc.; 202</w:t>
      </w:r>
      <w:r w:rsidR="00C27233">
        <w:t>5</w:t>
      </w:r>
      <w:r w:rsidRPr="00C31CFF">
        <w:t xml:space="preserve">. https://online.lexi.com. Accessed </w:t>
      </w:r>
      <w:r w:rsidR="00C27233">
        <w:t xml:space="preserve">January </w:t>
      </w:r>
      <w:r w:rsidR="000E78F4">
        <w:t>29</w:t>
      </w:r>
      <w:r w:rsidR="00C27233">
        <w:t>, 2025</w:t>
      </w:r>
      <w:r w:rsidRPr="00C31CFF">
        <w:t>.</w:t>
      </w:r>
    </w:p>
    <w:p w14:paraId="55F97F82" w14:textId="0E814D9A" w:rsidR="009C16C6" w:rsidRPr="00C31CFF" w:rsidRDefault="009C16C6" w:rsidP="009C16C6">
      <w:pPr>
        <w:pStyle w:val="ReferenceOrdered"/>
      </w:pPr>
      <w:r w:rsidRPr="00C31CFF">
        <w:t xml:space="preserve">Micromedex® (electronic version). Merative, Ann Arbor, Michigan, USA. Available at: https://www.micromedexsolutions.com/ (cited: </w:t>
      </w:r>
      <w:r w:rsidR="00C27233">
        <w:t>01/17/2025</w:t>
      </w:r>
      <w:r w:rsidRPr="00C31CFF">
        <w:t>).</w:t>
      </w:r>
    </w:p>
    <w:p w14:paraId="5F9D9343" w14:textId="77777777" w:rsidR="009C16C6" w:rsidRPr="007733D7" w:rsidRDefault="009C16C6" w:rsidP="009C16C6">
      <w:pPr>
        <w:pStyle w:val="ReferenceOrdered"/>
      </w:pPr>
      <w:r w:rsidRPr="007733D7">
        <w:t>Patterson TF, Thompson GR, Denning DW, et al. Practice Guidelines for the Diagnosis and Management of Aspergillosis: 2016 Update by the Infectious Diseases Society of America. Clinical Infectious Diseases. 2016; 63:112–146.</w:t>
      </w:r>
    </w:p>
    <w:p w14:paraId="3B2766E7" w14:textId="77777777" w:rsidR="009C16C6" w:rsidRPr="00BB2013" w:rsidRDefault="009C16C6" w:rsidP="009C16C6">
      <w:pPr>
        <w:pStyle w:val="ReferenceOrdered"/>
      </w:pPr>
      <w:r w:rsidRPr="00BB2013">
        <w:t xml:space="preserve">Wheat L, </w:t>
      </w:r>
      <w:proofErr w:type="spellStart"/>
      <w:r w:rsidRPr="00BB2013">
        <w:t>Freifeld</w:t>
      </w:r>
      <w:proofErr w:type="spellEnd"/>
      <w:r w:rsidRPr="00BB2013">
        <w:t xml:space="preserve"> A, Kleiman M, et al. Clinical Practice Guidelines for the Management of Patients with Histoplasmosis: 2007 Update by the Infectious Diseases Society of America. Clinical Infectious Diseases. 2007;45:807–25.</w:t>
      </w:r>
    </w:p>
    <w:p w14:paraId="71A38588" w14:textId="77777777" w:rsidR="009C16C6" w:rsidRPr="00D976FC" w:rsidRDefault="009C16C6" w:rsidP="009C16C6">
      <w:pPr>
        <w:pStyle w:val="ReferenceOrdered"/>
      </w:pPr>
      <w:r w:rsidRPr="00D976FC">
        <w:t xml:space="preserve">Chapman S, </w:t>
      </w:r>
      <w:proofErr w:type="spellStart"/>
      <w:r w:rsidRPr="00D976FC">
        <w:t>Dismukes</w:t>
      </w:r>
      <w:proofErr w:type="spellEnd"/>
      <w:r w:rsidRPr="00D976FC">
        <w:t xml:space="preserve"> W, </w:t>
      </w:r>
      <w:proofErr w:type="spellStart"/>
      <w:r w:rsidRPr="00D976FC">
        <w:t>Proia</w:t>
      </w:r>
      <w:proofErr w:type="spellEnd"/>
      <w:r w:rsidRPr="00D976FC">
        <w:t xml:space="preserve"> L, et al. Clinical Practice Guidelines for the Management of Blastomycosis: 2008 Update by the Infectious Diseases Society of America. Clinical Infectious Diseases. 2008;46:1801–12.</w:t>
      </w:r>
    </w:p>
    <w:p w14:paraId="2946958A" w14:textId="77777777" w:rsidR="009C16C6" w:rsidRPr="003451B0" w:rsidRDefault="009C16C6" w:rsidP="009C16C6">
      <w:pPr>
        <w:pStyle w:val="ReferenceOrdered"/>
      </w:pPr>
      <w:r w:rsidRPr="003451B0">
        <w:t xml:space="preserve">Perfect J, </w:t>
      </w:r>
      <w:proofErr w:type="spellStart"/>
      <w:r w:rsidRPr="003451B0">
        <w:t>Dismukes</w:t>
      </w:r>
      <w:proofErr w:type="spellEnd"/>
      <w:r w:rsidRPr="003451B0">
        <w:t xml:space="preserve"> W, </w:t>
      </w:r>
      <w:proofErr w:type="spellStart"/>
      <w:r w:rsidRPr="003451B0">
        <w:t>Dromer</w:t>
      </w:r>
      <w:proofErr w:type="spellEnd"/>
      <w:r w:rsidRPr="003451B0">
        <w:t xml:space="preserve"> F, et al. Clinical Practice Guidelines for the Management of Cryptococcal Disease: 2010 Update by the Infectious Diseases Society of America. Clinical Infectious Diseases. 2010;50:291–322.</w:t>
      </w:r>
    </w:p>
    <w:p w14:paraId="13E38E9A" w14:textId="5B8A6771" w:rsidR="009C16C6" w:rsidRPr="008C2F65" w:rsidRDefault="009C16C6" w:rsidP="009C16C6">
      <w:pPr>
        <w:pStyle w:val="ReferenceOrdered"/>
      </w:pPr>
      <w:r w:rsidRPr="008C2F65">
        <w:t>Panel on Opportunistic Infections in HIV-Infected Adults and Adolescents. Guidelines for the prevention and treatment of opportunistic infections in HIV-infected adults and adolescents: recommendations from the Centers for Disease Control and Prevention, the National Institutes of Health, and the HIV Medicine Association of the Infectious Diseases Society of America. Available at:</w:t>
      </w:r>
      <w:r w:rsidR="00C94D1B">
        <w:t xml:space="preserve"> </w:t>
      </w:r>
      <w:r w:rsidR="008C2F65" w:rsidRPr="00682075">
        <w:t>https://clinicalinfo.hiv.gov/en/guidelines/hiv-clinical-guidelines-adult-and-adolescent-opportunistic-infections/whats-new?view=full</w:t>
      </w:r>
      <w:r w:rsidRPr="008C2F65">
        <w:t xml:space="preserve">. Accessed </w:t>
      </w:r>
      <w:r w:rsidR="008C2F65" w:rsidRPr="00682075">
        <w:t>January 30</w:t>
      </w:r>
      <w:r w:rsidRPr="008C2F65">
        <w:t>, 202</w:t>
      </w:r>
      <w:r w:rsidR="008C2F65" w:rsidRPr="00682075">
        <w:t>5</w:t>
      </w:r>
      <w:r w:rsidRPr="008C2F65">
        <w:t>.</w:t>
      </w:r>
    </w:p>
    <w:p w14:paraId="26E25A0F" w14:textId="33299E5C" w:rsidR="00FF66BF" w:rsidRPr="00BB5A77" w:rsidRDefault="009C16C6" w:rsidP="009C16C6">
      <w:pPr>
        <w:pStyle w:val="ReferenceOrdered"/>
      </w:pPr>
      <w:r w:rsidRPr="00BB5A77">
        <w:t>Ely, JW, Rosenfeld, S, Stone, MS. Diagnosis and Management of Tinea Infections. American Family Physician. 2014;90(10):702-712.</w:t>
      </w:r>
    </w:p>
    <w:sectPr w:rsidR="00FF66BF" w:rsidRPr="00BB5A77" w:rsidSect="004A0583">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E714E" w14:textId="77777777" w:rsidR="00D366EA" w:rsidRDefault="00D366EA">
      <w:r>
        <w:separator/>
      </w:r>
    </w:p>
  </w:endnote>
  <w:endnote w:type="continuationSeparator" w:id="0">
    <w:p w14:paraId="379CC322" w14:textId="77777777" w:rsidR="00D366EA" w:rsidRDefault="00D366EA">
      <w:r>
        <w:continuationSeparator/>
      </w:r>
    </w:p>
  </w:endnote>
  <w:endnote w:type="continuationNotice" w:id="1">
    <w:p w14:paraId="7A5273D8" w14:textId="77777777" w:rsidR="00D366EA" w:rsidRDefault="00D366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B9574A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06A2A" w:rsidRPr="00F06A2A">
      <w:rPr>
        <w:rFonts w:cs="Arial"/>
        <w:noProof/>
        <w:sz w:val="16"/>
        <w:szCs w:val="16"/>
      </w:rPr>
      <w:t>Itraconazole</w:t>
    </w:r>
    <w:r w:rsidR="00F06A2A">
      <w:rPr>
        <w:rFonts w:cs="Arial"/>
        <w:noProof/>
        <w:snapToGrid w:val="0"/>
        <w:color w:val="000000"/>
        <w:sz w:val="16"/>
        <w:szCs w:val="16"/>
      </w:rPr>
      <w:t xml:space="preserve"> (Sporanox </w:t>
    </w:r>
    <w:r w:rsidR="00F06A2A" w:rsidRPr="00F06A2A">
      <w:rPr>
        <w:rFonts w:cs="Arial"/>
        <w:noProof/>
        <w:sz w:val="16"/>
        <w:szCs w:val="16"/>
      </w:rPr>
      <w:t>Capsules)</w:t>
    </w:r>
    <w:r w:rsidR="00F06A2A">
      <w:rPr>
        <w:rFonts w:cs="Arial"/>
        <w:noProof/>
        <w:snapToGrid w:val="0"/>
        <w:color w:val="000000"/>
        <w:sz w:val="16"/>
        <w:szCs w:val="16"/>
      </w:rPr>
      <w:t xml:space="preserve"> PA 280-A P03-2025.docx</w:t>
    </w:r>
    <w:r w:rsidRPr="00EC47B6">
      <w:rPr>
        <w:rFonts w:cs="Arial"/>
        <w:noProof/>
        <w:sz w:val="16"/>
        <w:szCs w:val="16"/>
      </w:rPr>
      <w:fldChar w:fldCharType="end"/>
    </w:r>
    <w:r w:rsidRPr="00EC47B6">
      <w:rPr>
        <w:rFonts w:cs="Arial"/>
        <w:snapToGrid w:val="0"/>
        <w:color w:val="000000"/>
        <w:sz w:val="16"/>
      </w:rPr>
      <w:tab/>
      <w:t>© 202</w:t>
    </w:r>
    <w:r w:rsidR="006B369D">
      <w:rPr>
        <w:rFonts w:cs="Arial"/>
        <w:snapToGrid w:val="0"/>
        <w:color w:val="000000"/>
        <w:sz w:val="16"/>
      </w:rPr>
      <w:t>5</w:t>
    </w:r>
    <w:r w:rsidRPr="00EC47B6">
      <w:rPr>
        <w:rFonts w:cs="Arial"/>
        <w:snapToGrid w:val="0"/>
        <w:color w:val="000000"/>
        <w:sz w:val="16"/>
      </w:rPr>
      <w:t xml:space="preserve"> CVS Caremark. All rights reserved.</w:t>
    </w:r>
  </w:p>
  <w:p w14:paraId="61CF5924" w14:textId="1E2199E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E9243D0" w:rsidR="00F75C81" w:rsidRPr="00AA1E6A" w:rsidRDefault="00C36B72" w:rsidP="00C042A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DEF5150"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06A2A" w:rsidRPr="00F06A2A">
      <w:rPr>
        <w:rFonts w:cs="Arial"/>
        <w:noProof/>
        <w:sz w:val="16"/>
        <w:szCs w:val="16"/>
      </w:rPr>
      <w:t>Itraconazole</w:t>
    </w:r>
    <w:r w:rsidR="00F06A2A">
      <w:rPr>
        <w:rFonts w:cs="Arial"/>
        <w:noProof/>
        <w:snapToGrid w:val="0"/>
        <w:color w:val="000000"/>
        <w:sz w:val="16"/>
        <w:szCs w:val="16"/>
      </w:rPr>
      <w:t xml:space="preserve"> (Sporanox </w:t>
    </w:r>
    <w:r w:rsidR="00F06A2A" w:rsidRPr="00F06A2A">
      <w:rPr>
        <w:rFonts w:cs="Arial"/>
        <w:noProof/>
        <w:sz w:val="16"/>
        <w:szCs w:val="16"/>
      </w:rPr>
      <w:t>Capsules)</w:t>
    </w:r>
    <w:r w:rsidR="00F06A2A">
      <w:rPr>
        <w:rFonts w:cs="Arial"/>
        <w:noProof/>
        <w:snapToGrid w:val="0"/>
        <w:color w:val="000000"/>
        <w:sz w:val="16"/>
        <w:szCs w:val="16"/>
      </w:rPr>
      <w:t xml:space="preserve"> PA 280-A P03-2025.docx</w:t>
    </w:r>
    <w:r w:rsidRPr="00EC47B6">
      <w:rPr>
        <w:rFonts w:cs="Arial"/>
        <w:noProof/>
        <w:sz w:val="16"/>
        <w:szCs w:val="16"/>
      </w:rPr>
      <w:fldChar w:fldCharType="end"/>
    </w:r>
    <w:r w:rsidRPr="00EC47B6">
      <w:rPr>
        <w:rFonts w:cs="Arial"/>
        <w:snapToGrid w:val="0"/>
        <w:color w:val="000000"/>
        <w:sz w:val="16"/>
      </w:rPr>
      <w:tab/>
      <w:t>© 202</w:t>
    </w:r>
    <w:r w:rsidR="006B369D">
      <w:rPr>
        <w:rFonts w:cs="Arial"/>
        <w:snapToGrid w:val="0"/>
        <w:color w:val="000000"/>
        <w:sz w:val="16"/>
      </w:rPr>
      <w:t>5</w:t>
    </w:r>
    <w:r w:rsidRPr="00EC47B6">
      <w:rPr>
        <w:rFonts w:cs="Arial"/>
        <w:snapToGrid w:val="0"/>
        <w:color w:val="000000"/>
        <w:sz w:val="16"/>
      </w:rPr>
      <w:t xml:space="preserve"> CVS Caremark. All rights reserved.</w:t>
    </w:r>
  </w:p>
  <w:p w14:paraId="39BFE579" w14:textId="3C6C840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00095A9" w:rsidR="00ED04EC" w:rsidRPr="00F50D98" w:rsidRDefault="00F50D98" w:rsidP="00C042A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F389" w14:textId="77777777" w:rsidR="00D366EA" w:rsidRDefault="00D366EA">
      <w:r>
        <w:separator/>
      </w:r>
    </w:p>
  </w:footnote>
  <w:footnote w:type="continuationSeparator" w:id="0">
    <w:p w14:paraId="2D1142AE" w14:textId="77777777" w:rsidR="00D366EA" w:rsidRDefault="00D366EA">
      <w:r>
        <w:continuationSeparator/>
      </w:r>
    </w:p>
  </w:footnote>
  <w:footnote w:type="continuationNotice" w:id="1">
    <w:p w14:paraId="19CDBBC2" w14:textId="77777777" w:rsidR="00D366EA" w:rsidRDefault="00D366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9F3D1C" w:rsidRPr="009F3D1C" w14:paraId="16262E63" w14:textId="77777777">
      <w:trPr>
        <w:trHeight w:val="144"/>
        <w:jc w:val="right"/>
      </w:trPr>
      <w:tc>
        <w:tcPr>
          <w:tcW w:w="1854" w:type="dxa"/>
          <w:hideMark/>
        </w:tcPr>
        <w:p w14:paraId="18F550B7" w14:textId="77777777" w:rsidR="00ED04EC" w:rsidRPr="009F3D1C" w:rsidRDefault="00ED04EC" w:rsidP="00ED04EC">
          <w:pPr>
            <w:pStyle w:val="Header"/>
            <w:rPr>
              <w:rFonts w:ascii="Arial" w:hAnsi="Arial" w:cs="Arial"/>
              <w:sz w:val="16"/>
              <w:szCs w:val="16"/>
            </w:rPr>
          </w:pPr>
          <w:r w:rsidRPr="009F3D1C">
            <w:rPr>
              <w:rFonts w:ascii="Arial" w:hAnsi="Arial" w:cs="Arial"/>
              <w:sz w:val="16"/>
              <w:szCs w:val="16"/>
            </w:rPr>
            <w:t>Reference number(s)</w:t>
          </w:r>
        </w:p>
      </w:tc>
    </w:tr>
    <w:tr w:rsidR="009F3D1C" w:rsidRPr="009F3D1C" w14:paraId="703C6588" w14:textId="77777777">
      <w:trPr>
        <w:trHeight w:val="378"/>
        <w:jc w:val="right"/>
      </w:trPr>
      <w:tc>
        <w:tcPr>
          <w:tcW w:w="1854" w:type="dxa"/>
          <w:hideMark/>
        </w:tcPr>
        <w:p w14:paraId="51CE3E64" w14:textId="04CCEA15" w:rsidR="00ED04EC" w:rsidRPr="009F3D1C" w:rsidRDefault="009C16C6" w:rsidP="00ED04EC">
          <w:pPr>
            <w:pStyle w:val="Header"/>
            <w:rPr>
              <w:rFonts w:ascii="Arial" w:hAnsi="Arial" w:cs="Arial"/>
              <w:sz w:val="16"/>
              <w:szCs w:val="16"/>
            </w:rPr>
          </w:pPr>
          <w:r w:rsidRPr="009F3D1C">
            <w:rPr>
              <w:rFonts w:ascii="Arial" w:hAnsi="Arial" w:cs="Arial"/>
              <w:sz w:val="16"/>
              <w:szCs w:val="16"/>
            </w:rPr>
            <w:t>280-A</w:t>
          </w:r>
        </w:p>
      </w:tc>
    </w:tr>
  </w:tbl>
  <w:p w14:paraId="0D5ACCC2" w14:textId="27A1D67A"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0C189969" w:rsidR="000F5383" w:rsidRPr="00FF66BF" w:rsidRDefault="009C16C6" w:rsidP="009E1F57">
          <w:pPr>
            <w:pStyle w:val="RefTableHeader"/>
          </w:pPr>
          <w:r w:rsidRPr="009C16C6">
            <w:t>280-A</w:t>
          </w:r>
        </w:p>
      </w:tc>
    </w:tr>
  </w:tbl>
  <w:p w14:paraId="5ACB788B" w14:textId="63CFCC74"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993B18"/>
    <w:multiLevelType w:val="multilevel"/>
    <w:tmpl w:val="999673A6"/>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4"/>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6"/>
  </w:num>
  <w:num w:numId="18" w16cid:durableId="299724409">
    <w:abstractNumId w:val="21"/>
  </w:num>
  <w:num w:numId="19" w16cid:durableId="214585573">
    <w:abstractNumId w:val="13"/>
  </w:num>
  <w:num w:numId="20" w16cid:durableId="1289816170">
    <w:abstractNumId w:val="14"/>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5"/>
  </w:num>
  <w:num w:numId="26" w16cid:durableId="1950313333">
    <w:abstractNumId w:val="18"/>
  </w:num>
  <w:num w:numId="27" w16cid:durableId="1866016584">
    <w:abstractNumId w:val="17"/>
  </w:num>
  <w:num w:numId="28" w16cid:durableId="136236583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7B8"/>
    <w:rsid w:val="00005C28"/>
    <w:rsid w:val="00006174"/>
    <w:rsid w:val="00006AC2"/>
    <w:rsid w:val="00006E19"/>
    <w:rsid w:val="00007844"/>
    <w:rsid w:val="00007A56"/>
    <w:rsid w:val="00010351"/>
    <w:rsid w:val="000106D6"/>
    <w:rsid w:val="00010A20"/>
    <w:rsid w:val="00010FE0"/>
    <w:rsid w:val="00011419"/>
    <w:rsid w:val="00011D89"/>
    <w:rsid w:val="00011ED0"/>
    <w:rsid w:val="00012717"/>
    <w:rsid w:val="00012727"/>
    <w:rsid w:val="000128B0"/>
    <w:rsid w:val="00012BCD"/>
    <w:rsid w:val="00013653"/>
    <w:rsid w:val="000141E7"/>
    <w:rsid w:val="000148F0"/>
    <w:rsid w:val="00014F64"/>
    <w:rsid w:val="00015ABC"/>
    <w:rsid w:val="0001694A"/>
    <w:rsid w:val="00016A2E"/>
    <w:rsid w:val="00017860"/>
    <w:rsid w:val="00017EE8"/>
    <w:rsid w:val="000200D2"/>
    <w:rsid w:val="00020318"/>
    <w:rsid w:val="000203D2"/>
    <w:rsid w:val="00020F76"/>
    <w:rsid w:val="0002111C"/>
    <w:rsid w:val="00021A0A"/>
    <w:rsid w:val="00021C51"/>
    <w:rsid w:val="00021F62"/>
    <w:rsid w:val="00022D21"/>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269C"/>
    <w:rsid w:val="00043056"/>
    <w:rsid w:val="000438A2"/>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52C"/>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46C"/>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07AA"/>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8F4"/>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33"/>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263"/>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133"/>
    <w:rsid w:val="001344B1"/>
    <w:rsid w:val="00134671"/>
    <w:rsid w:val="0013477B"/>
    <w:rsid w:val="0013503B"/>
    <w:rsid w:val="001356EF"/>
    <w:rsid w:val="00136BE6"/>
    <w:rsid w:val="001370F9"/>
    <w:rsid w:val="00137657"/>
    <w:rsid w:val="00137956"/>
    <w:rsid w:val="00137C7B"/>
    <w:rsid w:val="00140B8C"/>
    <w:rsid w:val="00140ED6"/>
    <w:rsid w:val="00143240"/>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0BF"/>
    <w:rsid w:val="00176167"/>
    <w:rsid w:val="00176A70"/>
    <w:rsid w:val="0017701E"/>
    <w:rsid w:val="00177020"/>
    <w:rsid w:val="0018072F"/>
    <w:rsid w:val="00180A53"/>
    <w:rsid w:val="00181BB0"/>
    <w:rsid w:val="00182BBD"/>
    <w:rsid w:val="00182C96"/>
    <w:rsid w:val="001837BD"/>
    <w:rsid w:val="00183B46"/>
    <w:rsid w:val="00183EA7"/>
    <w:rsid w:val="0018562F"/>
    <w:rsid w:val="0018575D"/>
    <w:rsid w:val="0018586D"/>
    <w:rsid w:val="001858C6"/>
    <w:rsid w:val="00185A9C"/>
    <w:rsid w:val="00185C58"/>
    <w:rsid w:val="00186758"/>
    <w:rsid w:val="00187BCC"/>
    <w:rsid w:val="00190200"/>
    <w:rsid w:val="001914C8"/>
    <w:rsid w:val="001916D1"/>
    <w:rsid w:val="00191904"/>
    <w:rsid w:val="00191E28"/>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24D"/>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35E3"/>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B31"/>
    <w:rsid w:val="00240C70"/>
    <w:rsid w:val="0024185D"/>
    <w:rsid w:val="002423DE"/>
    <w:rsid w:val="00242E29"/>
    <w:rsid w:val="00242F54"/>
    <w:rsid w:val="00243017"/>
    <w:rsid w:val="0024305D"/>
    <w:rsid w:val="00244269"/>
    <w:rsid w:val="00244442"/>
    <w:rsid w:val="0024498F"/>
    <w:rsid w:val="0024630D"/>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A7A0D"/>
    <w:rsid w:val="002B0460"/>
    <w:rsid w:val="002B06CF"/>
    <w:rsid w:val="002B07EA"/>
    <w:rsid w:val="002B0B5F"/>
    <w:rsid w:val="002B0F7E"/>
    <w:rsid w:val="002B101E"/>
    <w:rsid w:val="002B1581"/>
    <w:rsid w:val="002B2B8E"/>
    <w:rsid w:val="002B306F"/>
    <w:rsid w:val="002B3172"/>
    <w:rsid w:val="002B4271"/>
    <w:rsid w:val="002B6A94"/>
    <w:rsid w:val="002B751E"/>
    <w:rsid w:val="002B7A9E"/>
    <w:rsid w:val="002B7F07"/>
    <w:rsid w:val="002B7FDB"/>
    <w:rsid w:val="002C0682"/>
    <w:rsid w:val="002C1498"/>
    <w:rsid w:val="002C1864"/>
    <w:rsid w:val="002C1FB2"/>
    <w:rsid w:val="002C20ED"/>
    <w:rsid w:val="002C29B8"/>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3359"/>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7C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1B0"/>
    <w:rsid w:val="003455CD"/>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A52"/>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39B6"/>
    <w:rsid w:val="003D46B0"/>
    <w:rsid w:val="003D542C"/>
    <w:rsid w:val="003D6970"/>
    <w:rsid w:val="003D6BFA"/>
    <w:rsid w:val="003D6C2D"/>
    <w:rsid w:val="003E1674"/>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583"/>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B8D"/>
    <w:rsid w:val="004A7E0A"/>
    <w:rsid w:val="004B0D3E"/>
    <w:rsid w:val="004B0F4B"/>
    <w:rsid w:val="004B15BB"/>
    <w:rsid w:val="004B1639"/>
    <w:rsid w:val="004B1EDB"/>
    <w:rsid w:val="004B2869"/>
    <w:rsid w:val="004B384B"/>
    <w:rsid w:val="004B393A"/>
    <w:rsid w:val="004B3ECE"/>
    <w:rsid w:val="004B3F99"/>
    <w:rsid w:val="004B40FA"/>
    <w:rsid w:val="004B42FA"/>
    <w:rsid w:val="004B4E86"/>
    <w:rsid w:val="004B4FE3"/>
    <w:rsid w:val="004B504B"/>
    <w:rsid w:val="004B50BB"/>
    <w:rsid w:val="004B5614"/>
    <w:rsid w:val="004B5877"/>
    <w:rsid w:val="004B5B65"/>
    <w:rsid w:val="004B624A"/>
    <w:rsid w:val="004B758F"/>
    <w:rsid w:val="004C00B9"/>
    <w:rsid w:val="004C03AC"/>
    <w:rsid w:val="004C0A3F"/>
    <w:rsid w:val="004C32BE"/>
    <w:rsid w:val="004C3EE9"/>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89B"/>
    <w:rsid w:val="00516920"/>
    <w:rsid w:val="00517206"/>
    <w:rsid w:val="00520296"/>
    <w:rsid w:val="00520A89"/>
    <w:rsid w:val="005210A8"/>
    <w:rsid w:val="00521489"/>
    <w:rsid w:val="00521874"/>
    <w:rsid w:val="0052196B"/>
    <w:rsid w:val="005233C0"/>
    <w:rsid w:val="005234FE"/>
    <w:rsid w:val="00524FAE"/>
    <w:rsid w:val="00525A0E"/>
    <w:rsid w:val="00525DDE"/>
    <w:rsid w:val="00527038"/>
    <w:rsid w:val="00527402"/>
    <w:rsid w:val="005276C8"/>
    <w:rsid w:val="00527DF6"/>
    <w:rsid w:val="00530F8D"/>
    <w:rsid w:val="00531ADC"/>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27A"/>
    <w:rsid w:val="005444CF"/>
    <w:rsid w:val="00544C39"/>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510"/>
    <w:rsid w:val="00565A82"/>
    <w:rsid w:val="00565D50"/>
    <w:rsid w:val="00566202"/>
    <w:rsid w:val="00566784"/>
    <w:rsid w:val="00566B03"/>
    <w:rsid w:val="00566D18"/>
    <w:rsid w:val="00567075"/>
    <w:rsid w:val="0056761E"/>
    <w:rsid w:val="00570AC8"/>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2E72"/>
    <w:rsid w:val="005E3C25"/>
    <w:rsid w:val="005E4938"/>
    <w:rsid w:val="005E5656"/>
    <w:rsid w:val="005E5674"/>
    <w:rsid w:val="005E5A43"/>
    <w:rsid w:val="005E5EF1"/>
    <w:rsid w:val="005E6A1A"/>
    <w:rsid w:val="005F0A5B"/>
    <w:rsid w:val="005F10FC"/>
    <w:rsid w:val="005F1A16"/>
    <w:rsid w:val="005F2C8D"/>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31A4"/>
    <w:rsid w:val="00604463"/>
    <w:rsid w:val="00604555"/>
    <w:rsid w:val="00604A0F"/>
    <w:rsid w:val="00604DB2"/>
    <w:rsid w:val="00606384"/>
    <w:rsid w:val="00606506"/>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181"/>
    <w:rsid w:val="0063336C"/>
    <w:rsid w:val="00633471"/>
    <w:rsid w:val="00633B1C"/>
    <w:rsid w:val="00633C00"/>
    <w:rsid w:val="00634795"/>
    <w:rsid w:val="006349A7"/>
    <w:rsid w:val="00634C01"/>
    <w:rsid w:val="00634DD7"/>
    <w:rsid w:val="00634EA3"/>
    <w:rsid w:val="00635717"/>
    <w:rsid w:val="00636B62"/>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075"/>
    <w:rsid w:val="0068254A"/>
    <w:rsid w:val="0068274C"/>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81F"/>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69D"/>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C89"/>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447"/>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3BE7"/>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463"/>
    <w:rsid w:val="00760B2C"/>
    <w:rsid w:val="007622EA"/>
    <w:rsid w:val="007627F6"/>
    <w:rsid w:val="00762AE4"/>
    <w:rsid w:val="00762DDD"/>
    <w:rsid w:val="00763E22"/>
    <w:rsid w:val="0076417D"/>
    <w:rsid w:val="00765BBE"/>
    <w:rsid w:val="00766061"/>
    <w:rsid w:val="007704F3"/>
    <w:rsid w:val="007710F2"/>
    <w:rsid w:val="007716E9"/>
    <w:rsid w:val="00773060"/>
    <w:rsid w:val="007733D7"/>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B02"/>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062B"/>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3A88"/>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36B02"/>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57B6F"/>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7D4"/>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3362"/>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2F65"/>
    <w:rsid w:val="008C30A0"/>
    <w:rsid w:val="008C3173"/>
    <w:rsid w:val="008C3DF1"/>
    <w:rsid w:val="008C42FB"/>
    <w:rsid w:val="008C45B6"/>
    <w:rsid w:val="008C54D9"/>
    <w:rsid w:val="008C5E4C"/>
    <w:rsid w:val="008D0F23"/>
    <w:rsid w:val="008D13AB"/>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2E81"/>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6C31"/>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96E"/>
    <w:rsid w:val="0094298C"/>
    <w:rsid w:val="009434E1"/>
    <w:rsid w:val="0094553A"/>
    <w:rsid w:val="00945C2F"/>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110"/>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34C"/>
    <w:rsid w:val="009B579E"/>
    <w:rsid w:val="009B5866"/>
    <w:rsid w:val="009B5A24"/>
    <w:rsid w:val="009B6153"/>
    <w:rsid w:val="009B7708"/>
    <w:rsid w:val="009C0A23"/>
    <w:rsid w:val="009C16C6"/>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D1C"/>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16D"/>
    <w:rsid w:val="00A1485F"/>
    <w:rsid w:val="00A14BF4"/>
    <w:rsid w:val="00A14F1C"/>
    <w:rsid w:val="00A156C9"/>
    <w:rsid w:val="00A15AE5"/>
    <w:rsid w:val="00A16536"/>
    <w:rsid w:val="00A16E35"/>
    <w:rsid w:val="00A20159"/>
    <w:rsid w:val="00A2137A"/>
    <w:rsid w:val="00A21480"/>
    <w:rsid w:val="00A21490"/>
    <w:rsid w:val="00A23BE3"/>
    <w:rsid w:val="00A24116"/>
    <w:rsid w:val="00A242BE"/>
    <w:rsid w:val="00A255C0"/>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66BC"/>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3ED6"/>
    <w:rsid w:val="00A548C6"/>
    <w:rsid w:val="00A54C2F"/>
    <w:rsid w:val="00A55507"/>
    <w:rsid w:val="00A57245"/>
    <w:rsid w:val="00A6026F"/>
    <w:rsid w:val="00A60656"/>
    <w:rsid w:val="00A614D8"/>
    <w:rsid w:val="00A61592"/>
    <w:rsid w:val="00A618ED"/>
    <w:rsid w:val="00A61B9A"/>
    <w:rsid w:val="00A61E26"/>
    <w:rsid w:val="00A61FC3"/>
    <w:rsid w:val="00A640A6"/>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3B"/>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189"/>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3DA2"/>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A4D"/>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601"/>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241"/>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0E14"/>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7B"/>
    <w:rsid w:val="00B569FC"/>
    <w:rsid w:val="00B57430"/>
    <w:rsid w:val="00B574C8"/>
    <w:rsid w:val="00B57C0E"/>
    <w:rsid w:val="00B61ED0"/>
    <w:rsid w:val="00B6319D"/>
    <w:rsid w:val="00B63FDB"/>
    <w:rsid w:val="00B648B6"/>
    <w:rsid w:val="00B64967"/>
    <w:rsid w:val="00B64F2A"/>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5FF3"/>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013"/>
    <w:rsid w:val="00BB2668"/>
    <w:rsid w:val="00BB3275"/>
    <w:rsid w:val="00BB3604"/>
    <w:rsid w:val="00BB379D"/>
    <w:rsid w:val="00BB3F6D"/>
    <w:rsid w:val="00BB4131"/>
    <w:rsid w:val="00BB5A77"/>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926"/>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110"/>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6D0C"/>
    <w:rsid w:val="00BF7A85"/>
    <w:rsid w:val="00BF7D3E"/>
    <w:rsid w:val="00BF7F32"/>
    <w:rsid w:val="00C007A6"/>
    <w:rsid w:val="00C00D6D"/>
    <w:rsid w:val="00C00DBA"/>
    <w:rsid w:val="00C015B6"/>
    <w:rsid w:val="00C01BFA"/>
    <w:rsid w:val="00C01C2E"/>
    <w:rsid w:val="00C024FD"/>
    <w:rsid w:val="00C02901"/>
    <w:rsid w:val="00C02F81"/>
    <w:rsid w:val="00C042AD"/>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6D4"/>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33"/>
    <w:rsid w:val="00C272E0"/>
    <w:rsid w:val="00C2763A"/>
    <w:rsid w:val="00C27BF9"/>
    <w:rsid w:val="00C27D3E"/>
    <w:rsid w:val="00C31248"/>
    <w:rsid w:val="00C31CFF"/>
    <w:rsid w:val="00C31D09"/>
    <w:rsid w:val="00C325B3"/>
    <w:rsid w:val="00C3283F"/>
    <w:rsid w:val="00C32F79"/>
    <w:rsid w:val="00C33BF9"/>
    <w:rsid w:val="00C34B62"/>
    <w:rsid w:val="00C34D7E"/>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2E"/>
    <w:rsid w:val="00C6319D"/>
    <w:rsid w:val="00C631C5"/>
    <w:rsid w:val="00C6390D"/>
    <w:rsid w:val="00C64534"/>
    <w:rsid w:val="00C64859"/>
    <w:rsid w:val="00C65465"/>
    <w:rsid w:val="00C65502"/>
    <w:rsid w:val="00C668E2"/>
    <w:rsid w:val="00C675EB"/>
    <w:rsid w:val="00C676EA"/>
    <w:rsid w:val="00C700FE"/>
    <w:rsid w:val="00C72424"/>
    <w:rsid w:val="00C73E8B"/>
    <w:rsid w:val="00C74CD4"/>
    <w:rsid w:val="00C74F5C"/>
    <w:rsid w:val="00C74F9D"/>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87D2E"/>
    <w:rsid w:val="00C903CD"/>
    <w:rsid w:val="00C9046D"/>
    <w:rsid w:val="00C904DC"/>
    <w:rsid w:val="00C9304D"/>
    <w:rsid w:val="00C9309A"/>
    <w:rsid w:val="00C93A0B"/>
    <w:rsid w:val="00C93D8B"/>
    <w:rsid w:val="00C943F1"/>
    <w:rsid w:val="00C9453F"/>
    <w:rsid w:val="00C94D1B"/>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3DC1"/>
    <w:rsid w:val="00CA4298"/>
    <w:rsid w:val="00CA43AA"/>
    <w:rsid w:val="00CA59F7"/>
    <w:rsid w:val="00CA6E68"/>
    <w:rsid w:val="00CA7208"/>
    <w:rsid w:val="00CB1279"/>
    <w:rsid w:val="00CB13DF"/>
    <w:rsid w:val="00CB2B2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3C13"/>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6EA"/>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653C"/>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47A"/>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374"/>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6FC"/>
    <w:rsid w:val="00D97A46"/>
    <w:rsid w:val="00D97B49"/>
    <w:rsid w:val="00DA05D5"/>
    <w:rsid w:val="00DA0924"/>
    <w:rsid w:val="00DA29A1"/>
    <w:rsid w:val="00DA2BE1"/>
    <w:rsid w:val="00DA3D4A"/>
    <w:rsid w:val="00DA420D"/>
    <w:rsid w:val="00DA52B5"/>
    <w:rsid w:val="00DA5F0A"/>
    <w:rsid w:val="00DA60EE"/>
    <w:rsid w:val="00DA640C"/>
    <w:rsid w:val="00DA6BAC"/>
    <w:rsid w:val="00DA7269"/>
    <w:rsid w:val="00DA78DD"/>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0049"/>
    <w:rsid w:val="00DC12CF"/>
    <w:rsid w:val="00DC1591"/>
    <w:rsid w:val="00DC2163"/>
    <w:rsid w:val="00DC2997"/>
    <w:rsid w:val="00DC3267"/>
    <w:rsid w:val="00DC34C2"/>
    <w:rsid w:val="00DC46DA"/>
    <w:rsid w:val="00DC4F07"/>
    <w:rsid w:val="00DC500B"/>
    <w:rsid w:val="00DC54A4"/>
    <w:rsid w:val="00DC5E7C"/>
    <w:rsid w:val="00DC693A"/>
    <w:rsid w:val="00DC7B0D"/>
    <w:rsid w:val="00DC7B2A"/>
    <w:rsid w:val="00DC7CBE"/>
    <w:rsid w:val="00DD11EC"/>
    <w:rsid w:val="00DD1A9A"/>
    <w:rsid w:val="00DD1F42"/>
    <w:rsid w:val="00DD23B6"/>
    <w:rsid w:val="00DD34C0"/>
    <w:rsid w:val="00DD4C5E"/>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0A"/>
    <w:rsid w:val="00DF7FFE"/>
    <w:rsid w:val="00E00661"/>
    <w:rsid w:val="00E018EB"/>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2734"/>
    <w:rsid w:val="00E1275F"/>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587"/>
    <w:rsid w:val="00E43709"/>
    <w:rsid w:val="00E4431D"/>
    <w:rsid w:val="00E446A5"/>
    <w:rsid w:val="00E449A7"/>
    <w:rsid w:val="00E45C1A"/>
    <w:rsid w:val="00E4640D"/>
    <w:rsid w:val="00E46738"/>
    <w:rsid w:val="00E46A0A"/>
    <w:rsid w:val="00E47A32"/>
    <w:rsid w:val="00E5021D"/>
    <w:rsid w:val="00E51E55"/>
    <w:rsid w:val="00E521C7"/>
    <w:rsid w:val="00E525F8"/>
    <w:rsid w:val="00E52B34"/>
    <w:rsid w:val="00E5344B"/>
    <w:rsid w:val="00E54271"/>
    <w:rsid w:val="00E54A37"/>
    <w:rsid w:val="00E5515A"/>
    <w:rsid w:val="00E552B0"/>
    <w:rsid w:val="00E55E94"/>
    <w:rsid w:val="00E5648B"/>
    <w:rsid w:val="00E56F98"/>
    <w:rsid w:val="00E5769A"/>
    <w:rsid w:val="00E60126"/>
    <w:rsid w:val="00E6153A"/>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A7BC0"/>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2D15"/>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8B2"/>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6A2A"/>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686B"/>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126"/>
    <w:rsid w:val="00F53593"/>
    <w:rsid w:val="00F53994"/>
    <w:rsid w:val="00F53DD1"/>
    <w:rsid w:val="00F53FA3"/>
    <w:rsid w:val="00F54325"/>
    <w:rsid w:val="00F54760"/>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5E1"/>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1C7C"/>
    <w:rsid w:val="00FD26D2"/>
    <w:rsid w:val="00FD2879"/>
    <w:rsid w:val="00FD34F0"/>
    <w:rsid w:val="00FD3BCF"/>
    <w:rsid w:val="00FD4E5D"/>
    <w:rsid w:val="00FD5067"/>
    <w:rsid w:val="00FD6A19"/>
    <w:rsid w:val="00FD6E45"/>
    <w:rsid w:val="00FD75BC"/>
    <w:rsid w:val="00FD7AB8"/>
    <w:rsid w:val="00FE057F"/>
    <w:rsid w:val="00FE06ED"/>
    <w:rsid w:val="00FE0C63"/>
    <w:rsid w:val="00FE1AC5"/>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CEE"/>
    <w:rsid w:val="00FF2F94"/>
    <w:rsid w:val="00FF35C5"/>
    <w:rsid w:val="00FF37B2"/>
    <w:rsid w:val="00FF4A00"/>
    <w:rsid w:val="00FF530E"/>
    <w:rsid w:val="00FF5C3C"/>
    <w:rsid w:val="00FF66BF"/>
    <w:rsid w:val="00FF6A23"/>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287BB4B3-6634-4BB1-AA88-CB0815C5F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56468033">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87236348">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B2AE45D7-04A8-46E2-8724-F58B311A7D10}"/>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956</Words>
  <Characters>5882</Characters>
  <Application>Microsoft Office Word</Application>
  <DocSecurity>0</DocSecurity>
  <Lines>154</Lines>
  <Paragraphs>134</Paragraphs>
  <ScaleCrop>false</ScaleCrop>
  <HeadingPairs>
    <vt:vector size="2" baseType="variant">
      <vt:variant>
        <vt:lpstr>Title</vt:lpstr>
      </vt:variant>
      <vt:variant>
        <vt:i4>1</vt:i4>
      </vt:variant>
    </vt:vector>
  </HeadingPairs>
  <TitlesOfParts>
    <vt:vector size="1" baseType="lpstr">
      <vt:lpstr>Itraconazole (Sporanox Capsules) PA 280-A UDR 03-2024a-V</vt:lpstr>
    </vt:vector>
  </TitlesOfParts>
  <Company>PCS Health Systems</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Itraconazole (Sporanox Capsules) PA 280-A</dc:title>
  <dc:subject/>
  <dc:creator>CVS Caremark</dc:creator>
  <cp:keywords/>
  <cp:lastModifiedBy>Huerta, Linda M</cp:lastModifiedBy>
  <cp:revision>4</cp:revision>
  <cp:lastPrinted>2024-04-17T09:49:00Z</cp:lastPrinted>
  <dcterms:created xsi:type="dcterms:W3CDTF">2025-06-02T15:30:00Z</dcterms:created>
  <dcterms:modified xsi:type="dcterms:W3CDTF">2025-06-02T15:31:00Z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761400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